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B83" w:rsidRDefault="00241B83" w:rsidP="00241B83">
      <w:pPr>
        <w:pStyle w:val="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  <w:tab w:val="left" w:pos="10630"/>
        </w:tabs>
        <w:jc w:val="both"/>
        <w:rPr>
          <w:rFonts w:ascii="Arial" w:hAnsi="Arial" w:cs="Arial"/>
          <w:b/>
          <w:sz w:val="28"/>
          <w:szCs w:val="28"/>
          <w:lang w:val="en-US"/>
        </w:rPr>
      </w:pPr>
      <w:r w:rsidRPr="00CA4E00">
        <w:rPr>
          <w:rFonts w:ascii="Arial" w:hAnsi="Arial" w:cs="Arial"/>
          <w:b/>
          <w:sz w:val="28"/>
          <w:szCs w:val="28"/>
          <w:lang w:val="en-US"/>
        </w:rPr>
        <w:t>Phytogenic feed additives combined with fatty acids show promising potential for antibiotic-free poultry production</w:t>
      </w:r>
    </w:p>
    <w:p w:rsidR="00241B83" w:rsidRPr="00CA4E00" w:rsidRDefault="00241B83" w:rsidP="00241B83">
      <w:pPr>
        <w:pStyle w:val="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  <w:tab w:val="left" w:pos="10630"/>
        </w:tabs>
        <w:jc w:val="both"/>
        <w:rPr>
          <w:rFonts w:ascii="Arial" w:hAnsi="Arial" w:cs="Arial"/>
          <w:b/>
          <w:sz w:val="12"/>
          <w:szCs w:val="28"/>
          <w:lang w:val="en-US"/>
        </w:rPr>
      </w:pPr>
    </w:p>
    <w:p w:rsidR="00241B83" w:rsidRPr="005F6DCE" w:rsidRDefault="0015268C" w:rsidP="00241B83">
      <w:pPr>
        <w:spacing w:after="120" w:line="276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5F6DCE">
        <w:rPr>
          <w:rFonts w:ascii="Arial" w:hAnsi="Arial" w:cs="Arial"/>
          <w:sz w:val="24"/>
          <w:szCs w:val="24"/>
          <w:lang w:val="en-US"/>
        </w:rPr>
        <w:t>Effects</w:t>
      </w:r>
      <w:r w:rsidR="00241B83" w:rsidRPr="005F6DCE">
        <w:rPr>
          <w:rFonts w:ascii="Arial" w:hAnsi="Arial" w:cs="Arial"/>
          <w:sz w:val="24"/>
          <w:szCs w:val="24"/>
          <w:lang w:val="en-US"/>
        </w:rPr>
        <w:t xml:space="preserve"> of </w:t>
      </w:r>
      <w:proofErr w:type="spellStart"/>
      <w:r w:rsidR="00241B83" w:rsidRPr="005F6DCE">
        <w:rPr>
          <w:rFonts w:ascii="Arial" w:hAnsi="Arial" w:cs="Arial"/>
          <w:sz w:val="24"/>
          <w:szCs w:val="24"/>
          <w:lang w:val="en-US"/>
        </w:rPr>
        <w:t>Biostrong</w:t>
      </w:r>
      <w:proofErr w:type="spellEnd"/>
      <w:r w:rsidR="00241B83" w:rsidRPr="005F6DCE">
        <w:rPr>
          <w:rFonts w:ascii="Arial" w:hAnsi="Arial" w:cs="Arial"/>
          <w:sz w:val="24"/>
          <w:szCs w:val="24"/>
          <w:vertAlign w:val="superscript"/>
          <w:lang w:val="en-US"/>
        </w:rPr>
        <w:t>®</w:t>
      </w:r>
      <w:r w:rsidR="00241B83" w:rsidRPr="005F6DCE">
        <w:rPr>
          <w:rFonts w:ascii="Arial" w:hAnsi="Arial" w:cs="Arial"/>
          <w:sz w:val="24"/>
          <w:szCs w:val="24"/>
          <w:lang w:val="en-US"/>
        </w:rPr>
        <w:t xml:space="preserve"> Forte on animal microflora support antibiotic-free poultry production</w:t>
      </w:r>
    </w:p>
    <w:p w:rsidR="00241B83" w:rsidRPr="00E422A6" w:rsidRDefault="00241B83" w:rsidP="00241B83">
      <w:pPr>
        <w:pStyle w:val="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  <w:tab w:val="left" w:pos="10630"/>
        </w:tabs>
        <w:spacing w:after="120" w:line="276" w:lineRule="auto"/>
        <w:jc w:val="both"/>
        <w:rPr>
          <w:rFonts w:ascii="Arial" w:hAnsi="Arial" w:cs="Arial"/>
          <w:b/>
          <w:color w:val="auto"/>
          <w:szCs w:val="24"/>
          <w:lang w:val="en-GB"/>
        </w:rPr>
      </w:pPr>
      <w:r w:rsidRPr="00DA432C">
        <w:rPr>
          <w:rFonts w:ascii="Arial" w:hAnsi="Arial" w:cs="Arial"/>
          <w:b/>
          <w:szCs w:val="24"/>
          <w:lang w:val="en-US"/>
        </w:rPr>
        <w:t xml:space="preserve">Bangkok, March </w:t>
      </w:r>
      <w:r w:rsidR="00DA432C" w:rsidRPr="00DA432C">
        <w:rPr>
          <w:rFonts w:ascii="Arial" w:hAnsi="Arial" w:cs="Arial"/>
          <w:b/>
          <w:szCs w:val="24"/>
          <w:lang w:val="en-US"/>
        </w:rPr>
        <w:t>15</w:t>
      </w:r>
      <w:r w:rsidRPr="00DA432C">
        <w:rPr>
          <w:rFonts w:ascii="Arial" w:hAnsi="Arial" w:cs="Arial"/>
          <w:b/>
          <w:szCs w:val="24"/>
          <w:vertAlign w:val="superscript"/>
          <w:lang w:val="en-US"/>
        </w:rPr>
        <w:t>th</w:t>
      </w:r>
      <w:r w:rsidRPr="00DA432C">
        <w:rPr>
          <w:rFonts w:ascii="Arial" w:hAnsi="Arial" w:cs="Arial"/>
          <w:b/>
          <w:szCs w:val="24"/>
          <w:lang w:val="en-US"/>
        </w:rPr>
        <w:t xml:space="preserve">, 2017. </w:t>
      </w:r>
      <w:r w:rsidRPr="00DA432C">
        <w:rPr>
          <w:rFonts w:ascii="Arial" w:hAnsi="Arial" w:cs="Arial"/>
          <w:b/>
          <w:color w:val="auto"/>
          <w:szCs w:val="24"/>
          <w:lang w:val="en-US"/>
        </w:rPr>
        <w:t xml:space="preserve">Driven by consumers and by legislation to implement antibiotic-free poultry production, </w:t>
      </w:r>
      <w:r w:rsidR="0015268C" w:rsidRPr="00DA432C">
        <w:rPr>
          <w:rFonts w:ascii="Arial" w:hAnsi="Arial" w:cs="Arial"/>
          <w:b/>
          <w:color w:val="auto"/>
          <w:szCs w:val="24"/>
          <w:lang w:val="en-US"/>
        </w:rPr>
        <w:t>p</w:t>
      </w:r>
      <w:r w:rsidRPr="00DA432C">
        <w:rPr>
          <w:rFonts w:ascii="Arial" w:hAnsi="Arial" w:cs="Arial"/>
          <w:b/>
          <w:color w:val="auto"/>
          <w:szCs w:val="24"/>
          <w:lang w:val="en-US"/>
        </w:rPr>
        <w:t>oultry</w:t>
      </w:r>
      <w:r w:rsidRPr="0015268C">
        <w:rPr>
          <w:rFonts w:ascii="Arial" w:hAnsi="Arial" w:cs="Arial"/>
          <w:b/>
          <w:color w:val="auto"/>
          <w:szCs w:val="24"/>
          <w:lang w:val="en-US"/>
        </w:rPr>
        <w:t xml:space="preserve"> producers’ demand for phytogenic solutions is rising – aiming for a strong gut microflora, to keep animal performance high</w:t>
      </w:r>
      <w:r w:rsidR="00DA432C">
        <w:rPr>
          <w:rFonts w:ascii="Arial" w:hAnsi="Arial" w:cs="Arial"/>
          <w:b/>
          <w:color w:val="auto"/>
          <w:szCs w:val="24"/>
          <w:lang w:val="en-US"/>
        </w:rPr>
        <w:t>, also under challenging conditions</w:t>
      </w:r>
      <w:r w:rsidRPr="0015268C">
        <w:rPr>
          <w:rFonts w:ascii="Arial" w:hAnsi="Arial" w:cs="Arial"/>
          <w:b/>
          <w:color w:val="auto"/>
          <w:szCs w:val="24"/>
          <w:lang w:val="en-US"/>
        </w:rPr>
        <w:t xml:space="preserve">. </w:t>
      </w:r>
      <w:proofErr w:type="spellStart"/>
      <w:r w:rsidRPr="0015268C">
        <w:rPr>
          <w:rFonts w:ascii="Arial" w:hAnsi="Arial" w:cs="Arial"/>
          <w:b/>
          <w:color w:val="auto"/>
          <w:szCs w:val="24"/>
          <w:lang w:val="en-US"/>
        </w:rPr>
        <w:t>Biostrong</w:t>
      </w:r>
      <w:proofErr w:type="spellEnd"/>
      <w:r w:rsidRPr="0015268C">
        <w:rPr>
          <w:rFonts w:ascii="Arial" w:hAnsi="Arial" w:cs="Arial"/>
          <w:b/>
          <w:color w:val="auto"/>
          <w:szCs w:val="24"/>
          <w:vertAlign w:val="superscript"/>
          <w:lang w:val="en-US"/>
        </w:rPr>
        <w:t>®</w:t>
      </w:r>
      <w:r w:rsidRPr="0015268C">
        <w:rPr>
          <w:rFonts w:ascii="Arial" w:hAnsi="Arial" w:cs="Arial"/>
          <w:b/>
          <w:color w:val="auto"/>
          <w:szCs w:val="24"/>
          <w:lang w:val="en-US"/>
        </w:rPr>
        <w:t xml:space="preserve"> Forte was developed to combine the benefits of the phytogenic active</w:t>
      </w:r>
      <w:r w:rsidR="0015268C">
        <w:rPr>
          <w:rFonts w:ascii="Arial" w:hAnsi="Arial" w:cs="Arial"/>
          <w:b/>
          <w:color w:val="auto"/>
          <w:szCs w:val="24"/>
          <w:lang w:val="en-US"/>
        </w:rPr>
        <w:t>s</w:t>
      </w:r>
      <w:r w:rsidRPr="0015268C">
        <w:rPr>
          <w:rFonts w:ascii="Arial" w:hAnsi="Arial" w:cs="Arial"/>
          <w:b/>
          <w:color w:val="auto"/>
          <w:szCs w:val="24"/>
          <w:lang w:val="en-US"/>
        </w:rPr>
        <w:t xml:space="preserve"> in </w:t>
      </w:r>
      <w:proofErr w:type="spellStart"/>
      <w:r w:rsidRPr="0015268C">
        <w:rPr>
          <w:rFonts w:ascii="Arial" w:hAnsi="Arial" w:cs="Arial"/>
          <w:b/>
          <w:color w:val="auto"/>
          <w:szCs w:val="24"/>
          <w:lang w:val="en-US"/>
        </w:rPr>
        <w:t>Biostrong</w:t>
      </w:r>
      <w:proofErr w:type="spellEnd"/>
      <w:r w:rsidRPr="0015268C">
        <w:rPr>
          <w:rFonts w:ascii="Arial" w:hAnsi="Arial" w:cs="Arial"/>
          <w:b/>
          <w:color w:val="auto"/>
          <w:szCs w:val="24"/>
          <w:vertAlign w:val="superscript"/>
          <w:lang w:val="en-US"/>
        </w:rPr>
        <w:t>®</w:t>
      </w:r>
      <w:r w:rsidRPr="0015268C">
        <w:rPr>
          <w:rFonts w:ascii="Arial" w:hAnsi="Arial" w:cs="Arial"/>
          <w:b/>
          <w:color w:val="auto"/>
          <w:szCs w:val="24"/>
          <w:lang w:val="en-US"/>
        </w:rPr>
        <w:t xml:space="preserve"> 510 with the positive effects of esterified short and medium chain fatty acids on gut microflora in poultry. </w:t>
      </w:r>
      <w:r w:rsidR="0015268C">
        <w:rPr>
          <w:rFonts w:ascii="Arial" w:hAnsi="Arial" w:cs="Arial"/>
          <w:b/>
          <w:color w:val="auto"/>
          <w:szCs w:val="24"/>
          <w:lang w:val="en-US"/>
        </w:rPr>
        <w:t>T</w:t>
      </w:r>
      <w:r w:rsidRPr="0015268C">
        <w:rPr>
          <w:rFonts w:ascii="Arial" w:hAnsi="Arial" w:cs="Arial"/>
          <w:b/>
          <w:color w:val="auto"/>
          <w:szCs w:val="24"/>
          <w:lang w:val="en-US"/>
        </w:rPr>
        <w:t xml:space="preserve">he demand for the product is currently booming in Asian countries. It is </w:t>
      </w:r>
      <w:r w:rsidR="00E422A6" w:rsidRPr="00E422A6">
        <w:rPr>
          <w:rFonts w:ascii="Arial" w:hAnsi="Arial" w:cs="Arial"/>
          <w:b/>
          <w:color w:val="auto"/>
          <w:szCs w:val="24"/>
          <w:lang w:val="en-US"/>
        </w:rPr>
        <w:t>now available in most Asia</w:t>
      </w:r>
      <w:r w:rsidR="00994DE8">
        <w:rPr>
          <w:rFonts w:ascii="Arial" w:hAnsi="Arial" w:cs="Arial"/>
          <w:b/>
          <w:color w:val="auto"/>
          <w:szCs w:val="24"/>
          <w:lang w:val="en-US"/>
        </w:rPr>
        <w:t>n</w:t>
      </w:r>
      <w:bookmarkStart w:id="0" w:name="_GoBack"/>
      <w:bookmarkEnd w:id="0"/>
      <w:r w:rsidR="00E422A6" w:rsidRPr="00E422A6">
        <w:rPr>
          <w:rFonts w:ascii="Arial" w:hAnsi="Arial" w:cs="Arial"/>
          <w:b/>
          <w:color w:val="auto"/>
          <w:szCs w:val="24"/>
          <w:lang w:val="en-US"/>
        </w:rPr>
        <w:t xml:space="preserve"> </w:t>
      </w:r>
      <w:r w:rsidR="00E422A6">
        <w:rPr>
          <w:rFonts w:ascii="Arial" w:hAnsi="Arial" w:cs="Arial"/>
          <w:b/>
          <w:color w:val="auto"/>
          <w:szCs w:val="24"/>
          <w:lang w:val="en-US"/>
        </w:rPr>
        <w:t>P</w:t>
      </w:r>
      <w:r w:rsidR="00E422A6" w:rsidRPr="00E422A6">
        <w:rPr>
          <w:rFonts w:ascii="Arial" w:hAnsi="Arial" w:cs="Arial"/>
          <w:b/>
          <w:color w:val="auto"/>
          <w:szCs w:val="24"/>
          <w:lang w:val="en-US"/>
        </w:rPr>
        <w:t>acific countries.</w:t>
      </w:r>
    </w:p>
    <w:p w:rsidR="00241B83" w:rsidRPr="00CA4E00" w:rsidRDefault="00241B83" w:rsidP="00241B83">
      <w:pPr>
        <w:pStyle w:val="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  <w:tab w:val="left" w:pos="10630"/>
        </w:tabs>
        <w:spacing w:after="120" w:line="276" w:lineRule="auto"/>
        <w:jc w:val="both"/>
        <w:rPr>
          <w:rFonts w:ascii="Arial" w:eastAsia="Suisse BP Int'l Regular" w:hAnsi="Arial" w:cs="Arial"/>
          <w:color w:val="auto"/>
          <w:sz w:val="22"/>
          <w:szCs w:val="22"/>
          <w:lang w:val="en-US" w:eastAsia="en-US"/>
        </w:rPr>
      </w:pPr>
      <w:r w:rsidRPr="00CA4E00">
        <w:rPr>
          <w:rFonts w:ascii="Arial" w:eastAsia="Suisse BP Int'l Regular" w:hAnsi="Arial" w:cs="Arial"/>
          <w:color w:val="auto"/>
          <w:sz w:val="22"/>
          <w:szCs w:val="22"/>
          <w:lang w:val="en-US" w:eastAsia="en-US"/>
        </w:rPr>
        <w:t>For a long time, antibiotic growth promoters (AGP) have been used in broiler feed to enhance growth performance. This sub-therapeutic use of antibiotics as well as the excessive application of antibiotics to treat diseases has increase</w:t>
      </w:r>
      <w:r w:rsidR="0015268C">
        <w:rPr>
          <w:rFonts w:ascii="Arial" w:eastAsia="Suisse BP Int'l Regular" w:hAnsi="Arial" w:cs="Arial"/>
          <w:color w:val="auto"/>
          <w:sz w:val="22"/>
          <w:szCs w:val="22"/>
          <w:lang w:val="en-US" w:eastAsia="en-US"/>
        </w:rPr>
        <w:t>d</w:t>
      </w:r>
      <w:r w:rsidRPr="00CA4E00">
        <w:rPr>
          <w:rFonts w:ascii="Arial" w:eastAsia="Suisse BP Int'l Regular" w:hAnsi="Arial" w:cs="Arial"/>
          <w:color w:val="auto"/>
          <w:sz w:val="22"/>
          <w:szCs w:val="22"/>
          <w:lang w:val="en-US" w:eastAsia="en-US"/>
        </w:rPr>
        <w:t xml:space="preserve"> concerns about the development of antimicrobial resistance. Thus, research in alternatives like phytogenic feed additives (PFAs) has become prevalent to </w:t>
      </w:r>
      <w:r w:rsidR="00DA432C">
        <w:rPr>
          <w:rFonts w:ascii="Arial" w:eastAsia="Suisse BP Int'l Regular" w:hAnsi="Arial" w:cs="Arial"/>
          <w:color w:val="auto"/>
          <w:sz w:val="22"/>
          <w:szCs w:val="22"/>
          <w:lang w:val="en-US" w:eastAsia="en-US"/>
        </w:rPr>
        <w:t>develop</w:t>
      </w:r>
      <w:r w:rsidRPr="00CA4E00">
        <w:rPr>
          <w:rFonts w:ascii="Arial" w:eastAsia="Suisse BP Int'l Regular" w:hAnsi="Arial" w:cs="Arial"/>
          <w:color w:val="auto"/>
          <w:sz w:val="22"/>
          <w:szCs w:val="22"/>
          <w:lang w:val="en-US" w:eastAsia="en-US"/>
        </w:rPr>
        <w:t xml:space="preserve"> alternatives to in-feed antibiotics</w:t>
      </w:r>
      <w:r w:rsidR="0015268C">
        <w:rPr>
          <w:rFonts w:ascii="Arial" w:eastAsia="Suisse BP Int'l Regular" w:hAnsi="Arial" w:cs="Arial"/>
          <w:color w:val="auto"/>
          <w:sz w:val="22"/>
          <w:szCs w:val="22"/>
          <w:lang w:val="en-US" w:eastAsia="en-US"/>
        </w:rPr>
        <w:t>,</w:t>
      </w:r>
      <w:r w:rsidRPr="00CA4E00">
        <w:rPr>
          <w:rFonts w:ascii="Arial" w:eastAsia="Suisse BP Int'l Regular" w:hAnsi="Arial" w:cs="Arial"/>
          <w:color w:val="auto"/>
          <w:sz w:val="22"/>
          <w:szCs w:val="22"/>
          <w:lang w:val="en-US" w:eastAsia="en-US"/>
        </w:rPr>
        <w:t xml:space="preserve"> as demanded by consumers and by legislation. In the United States, for instance, the sub-therapeutic use of medically important antibiotics for growth performance </w:t>
      </w:r>
      <w:r w:rsidR="0015268C">
        <w:rPr>
          <w:rFonts w:ascii="Arial" w:eastAsia="Suisse BP Int'l Regular" w:hAnsi="Arial" w:cs="Arial"/>
          <w:color w:val="auto"/>
          <w:sz w:val="22"/>
          <w:szCs w:val="22"/>
          <w:lang w:val="en-US" w:eastAsia="en-US"/>
        </w:rPr>
        <w:t>is</w:t>
      </w:r>
      <w:r w:rsidRPr="00CA4E00">
        <w:rPr>
          <w:rFonts w:ascii="Arial" w:eastAsia="Suisse BP Int'l Regular" w:hAnsi="Arial" w:cs="Arial"/>
          <w:color w:val="auto"/>
          <w:sz w:val="22"/>
          <w:szCs w:val="22"/>
          <w:lang w:val="en-US" w:eastAsia="en-US"/>
        </w:rPr>
        <w:t xml:space="preserve"> no lon</w:t>
      </w:r>
      <w:r>
        <w:rPr>
          <w:rFonts w:ascii="Arial" w:eastAsia="Suisse BP Int'l Regular" w:hAnsi="Arial" w:cs="Arial"/>
          <w:color w:val="auto"/>
          <w:sz w:val="22"/>
          <w:szCs w:val="22"/>
          <w:lang w:val="en-US" w:eastAsia="en-US"/>
        </w:rPr>
        <w:t>ger allowed since 2017.</w:t>
      </w:r>
    </w:p>
    <w:p w:rsidR="00241B83" w:rsidRPr="00CA4E00" w:rsidRDefault="00241B83" w:rsidP="004F2A97">
      <w:pPr>
        <w:pStyle w:val="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  <w:tab w:val="left" w:pos="10630"/>
        </w:tabs>
        <w:spacing w:after="240" w:line="276" w:lineRule="auto"/>
        <w:jc w:val="both"/>
        <w:rPr>
          <w:rFonts w:ascii="Arial" w:eastAsia="Suisse BP Int'l Regular" w:hAnsi="Arial" w:cs="Arial"/>
          <w:color w:val="auto"/>
          <w:sz w:val="22"/>
          <w:szCs w:val="22"/>
          <w:lang w:val="en-US" w:eastAsia="en-US"/>
        </w:rPr>
      </w:pPr>
      <w:r w:rsidRPr="00CA4E00">
        <w:rPr>
          <w:rFonts w:ascii="Arial" w:eastAsia="Suisse BP Int'l Regular" w:hAnsi="Arial" w:cs="Arial"/>
          <w:color w:val="auto"/>
          <w:sz w:val="22"/>
          <w:szCs w:val="22"/>
          <w:lang w:val="en-US" w:eastAsia="en-US"/>
        </w:rPr>
        <w:t>When it comes to antibiotic-free poultry production, nutritionists, veterinarians and animal producers often pursue a diet composition including phytogenic feed additives in order to support the intestinal health of the animal. The</w:t>
      </w:r>
      <w:r w:rsidR="0015268C">
        <w:rPr>
          <w:rFonts w:ascii="Arial" w:eastAsia="Suisse BP Int'l Regular" w:hAnsi="Arial" w:cs="Arial"/>
          <w:color w:val="auto"/>
          <w:sz w:val="22"/>
          <w:szCs w:val="22"/>
          <w:lang w:val="en-US" w:eastAsia="en-US"/>
        </w:rPr>
        <w:t xml:space="preserve"> </w:t>
      </w:r>
      <w:r w:rsidRPr="00CA4E00">
        <w:rPr>
          <w:rFonts w:ascii="Arial" w:eastAsia="Suisse BP Int'l Regular" w:hAnsi="Arial" w:cs="Arial"/>
          <w:color w:val="auto"/>
          <w:sz w:val="22"/>
          <w:szCs w:val="22"/>
          <w:lang w:val="en-US" w:eastAsia="en-US"/>
        </w:rPr>
        <w:t xml:space="preserve">wide range of modes of action </w:t>
      </w:r>
      <w:r w:rsidR="0015268C">
        <w:rPr>
          <w:rFonts w:ascii="Arial" w:eastAsia="Suisse BP Int'l Regular" w:hAnsi="Arial" w:cs="Arial"/>
          <w:color w:val="auto"/>
          <w:sz w:val="22"/>
          <w:szCs w:val="22"/>
          <w:lang w:val="en-US" w:eastAsia="en-US"/>
        </w:rPr>
        <w:t xml:space="preserve">of phytogenic </w:t>
      </w:r>
      <w:r w:rsidR="00DA432C">
        <w:rPr>
          <w:rFonts w:ascii="Arial" w:eastAsia="Suisse BP Int'l Regular" w:hAnsi="Arial" w:cs="Arial"/>
          <w:color w:val="auto"/>
          <w:sz w:val="22"/>
          <w:szCs w:val="22"/>
          <w:lang w:val="en-US" w:eastAsia="en-US"/>
        </w:rPr>
        <w:t>actives</w:t>
      </w:r>
      <w:r w:rsidR="0015268C">
        <w:rPr>
          <w:rFonts w:ascii="Arial" w:eastAsia="Suisse BP Int'l Regular" w:hAnsi="Arial" w:cs="Arial"/>
          <w:color w:val="auto"/>
          <w:sz w:val="22"/>
          <w:szCs w:val="22"/>
          <w:lang w:val="en-US" w:eastAsia="en-US"/>
        </w:rPr>
        <w:t xml:space="preserve"> </w:t>
      </w:r>
      <w:r w:rsidRPr="00CA4E00">
        <w:rPr>
          <w:rFonts w:ascii="Arial" w:eastAsia="Suisse BP Int'l Regular" w:hAnsi="Arial" w:cs="Arial"/>
          <w:color w:val="auto"/>
          <w:sz w:val="22"/>
          <w:szCs w:val="22"/>
          <w:lang w:val="en-US" w:eastAsia="en-US"/>
        </w:rPr>
        <w:t xml:space="preserve">can optimize nutrient digestibility and support the </w:t>
      </w:r>
      <w:r w:rsidR="00DA432C">
        <w:rPr>
          <w:rFonts w:ascii="Arial" w:eastAsia="Suisse BP Int'l Regular" w:hAnsi="Arial" w:cs="Arial"/>
          <w:color w:val="auto"/>
          <w:sz w:val="22"/>
          <w:szCs w:val="22"/>
          <w:lang w:val="en-US" w:eastAsia="en-US"/>
        </w:rPr>
        <w:t>intestinal health.</w:t>
      </w:r>
    </w:p>
    <w:p w:rsidR="00241B83" w:rsidRDefault="00241B83" w:rsidP="00241B83">
      <w:pPr>
        <w:spacing w:after="120" w:line="276" w:lineRule="auto"/>
        <w:jc w:val="both"/>
        <w:rPr>
          <w:rFonts w:ascii="Arial" w:eastAsia="Times New Roman" w:hAnsi="Arial" w:cs="Arial"/>
          <w:b/>
          <w:color w:val="212121"/>
          <w:sz w:val="22"/>
          <w:szCs w:val="22"/>
          <w:lang w:val="en-US" w:eastAsia="de-AT"/>
        </w:rPr>
      </w:pPr>
      <w:r w:rsidRPr="00CA4E00">
        <w:rPr>
          <w:rFonts w:ascii="Arial" w:eastAsia="Times New Roman" w:hAnsi="Arial" w:cs="Arial"/>
          <w:b/>
          <w:color w:val="212121"/>
          <w:sz w:val="22"/>
          <w:szCs w:val="22"/>
          <w:lang w:val="en-US" w:eastAsia="de-AT"/>
        </w:rPr>
        <w:t xml:space="preserve">Beneficial combination </w:t>
      </w:r>
      <w:r w:rsidR="0015268C">
        <w:rPr>
          <w:rFonts w:ascii="Arial" w:eastAsia="Times New Roman" w:hAnsi="Arial" w:cs="Arial"/>
          <w:b/>
          <w:color w:val="212121"/>
          <w:sz w:val="22"/>
          <w:szCs w:val="22"/>
          <w:lang w:val="en-US" w:eastAsia="de-AT"/>
        </w:rPr>
        <w:t xml:space="preserve">of </w:t>
      </w:r>
      <w:proofErr w:type="spellStart"/>
      <w:r w:rsidR="0015268C">
        <w:rPr>
          <w:rFonts w:ascii="Arial" w:eastAsia="Times New Roman" w:hAnsi="Arial" w:cs="Arial"/>
          <w:b/>
          <w:color w:val="212121"/>
          <w:sz w:val="22"/>
          <w:szCs w:val="22"/>
          <w:lang w:val="en-US" w:eastAsia="de-AT"/>
        </w:rPr>
        <w:t>phytogenics</w:t>
      </w:r>
      <w:proofErr w:type="spellEnd"/>
      <w:r w:rsidR="0015268C">
        <w:rPr>
          <w:rFonts w:ascii="Arial" w:eastAsia="Times New Roman" w:hAnsi="Arial" w:cs="Arial"/>
          <w:b/>
          <w:color w:val="212121"/>
          <w:sz w:val="22"/>
          <w:szCs w:val="22"/>
          <w:lang w:val="en-US" w:eastAsia="de-AT"/>
        </w:rPr>
        <w:t xml:space="preserve"> and fatty acids</w:t>
      </w:r>
    </w:p>
    <w:p w:rsidR="00241B83" w:rsidRDefault="00241B83" w:rsidP="004F2A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76" w:lineRule="auto"/>
        <w:jc w:val="both"/>
        <w:rPr>
          <w:rFonts w:ascii="Arial" w:eastAsia="ヒラギノ角ゴ Pro W3" w:hAnsi="Arial" w:cs="Arial"/>
          <w:color w:val="000000"/>
          <w:sz w:val="22"/>
          <w:szCs w:val="22"/>
          <w:lang w:val="en-US" w:eastAsia="de-DE"/>
        </w:rPr>
      </w:pPr>
      <w:proofErr w:type="spellStart"/>
      <w:r w:rsidRPr="00CA4E00">
        <w:rPr>
          <w:rFonts w:ascii="Arial" w:eastAsia="ヒラギノ角ゴ Pro W3" w:hAnsi="Arial" w:cs="Arial"/>
          <w:color w:val="000000"/>
          <w:sz w:val="22"/>
          <w:szCs w:val="22"/>
          <w:lang w:val="en-US" w:eastAsia="de-DE"/>
        </w:rPr>
        <w:t>Biostrong</w:t>
      </w:r>
      <w:proofErr w:type="spellEnd"/>
      <w:r w:rsidRPr="0091589C">
        <w:rPr>
          <w:rFonts w:ascii="Arial" w:eastAsia="ヒラギノ角ゴ Pro W3" w:hAnsi="Arial" w:cs="Arial"/>
          <w:color w:val="000000"/>
          <w:sz w:val="22"/>
          <w:szCs w:val="22"/>
          <w:vertAlign w:val="superscript"/>
          <w:lang w:val="en-US" w:eastAsia="de-DE"/>
        </w:rPr>
        <w:t>®</w:t>
      </w:r>
      <w:r w:rsidRPr="00CA4E00">
        <w:rPr>
          <w:rFonts w:ascii="Arial" w:eastAsia="ヒラギノ角ゴ Pro W3" w:hAnsi="Arial" w:cs="Arial"/>
          <w:color w:val="000000"/>
          <w:sz w:val="22"/>
          <w:szCs w:val="22"/>
          <w:lang w:val="en-US" w:eastAsia="de-DE"/>
        </w:rPr>
        <w:t xml:space="preserve"> Forte was developed to combine the benefits of phytogenic actives in </w:t>
      </w:r>
      <w:proofErr w:type="spellStart"/>
      <w:r w:rsidRPr="00CA4E00">
        <w:rPr>
          <w:rFonts w:ascii="Arial" w:eastAsia="ヒラギノ角ゴ Pro W3" w:hAnsi="Arial" w:cs="Arial"/>
          <w:color w:val="000000"/>
          <w:sz w:val="22"/>
          <w:szCs w:val="22"/>
          <w:lang w:val="en-US" w:eastAsia="de-DE"/>
        </w:rPr>
        <w:t>Biostrong</w:t>
      </w:r>
      <w:proofErr w:type="spellEnd"/>
      <w:r w:rsidRPr="0091589C">
        <w:rPr>
          <w:rFonts w:ascii="Arial" w:eastAsia="ヒラギノ角ゴ Pro W3" w:hAnsi="Arial" w:cs="Arial"/>
          <w:color w:val="000000"/>
          <w:sz w:val="22"/>
          <w:szCs w:val="22"/>
          <w:vertAlign w:val="superscript"/>
          <w:lang w:val="en-US" w:eastAsia="de-DE"/>
        </w:rPr>
        <w:t>®</w:t>
      </w:r>
      <w:r w:rsidRPr="00CA4E00">
        <w:rPr>
          <w:rFonts w:ascii="Arial" w:eastAsia="ヒラギノ角ゴ Pro W3" w:hAnsi="Arial" w:cs="Arial"/>
          <w:color w:val="000000"/>
          <w:sz w:val="22"/>
          <w:szCs w:val="22"/>
          <w:lang w:val="en-US" w:eastAsia="de-DE"/>
        </w:rPr>
        <w:t xml:space="preserve"> 510 with the positive effects of esterified short and medium chain</w:t>
      </w:r>
      <w:r>
        <w:rPr>
          <w:rFonts w:ascii="Arial" w:eastAsia="ヒラギノ角ゴ Pro W3" w:hAnsi="Arial" w:cs="Arial"/>
          <w:color w:val="000000"/>
          <w:sz w:val="22"/>
          <w:szCs w:val="22"/>
          <w:lang w:val="en-US" w:eastAsia="de-DE"/>
        </w:rPr>
        <w:t xml:space="preserve"> fatty acids on gut microflora. </w:t>
      </w:r>
      <w:r w:rsidRPr="00CA4E00">
        <w:rPr>
          <w:rFonts w:ascii="Arial" w:eastAsia="ヒラギノ角ゴ Pro W3" w:hAnsi="Arial" w:cs="Arial"/>
          <w:color w:val="000000"/>
          <w:sz w:val="22"/>
          <w:szCs w:val="22"/>
          <w:lang w:val="en-US" w:eastAsia="de-DE"/>
        </w:rPr>
        <w:t xml:space="preserve">The herbs, spices, bitter substances, pungent substances and essential oils have shown to improve nutrient digestibility by e.g. increasing the secretion and activity of digestive enzymes and juices. Essential oils </w:t>
      </w:r>
      <w:r w:rsidR="00DA432C">
        <w:rPr>
          <w:rFonts w:ascii="Arial" w:eastAsia="ヒラギノ角ゴ Pro W3" w:hAnsi="Arial" w:cs="Arial"/>
          <w:color w:val="000000"/>
          <w:sz w:val="22"/>
          <w:szCs w:val="22"/>
          <w:lang w:val="en-US" w:eastAsia="de-DE"/>
        </w:rPr>
        <w:t>support gut health</w:t>
      </w:r>
      <w:r w:rsidR="004F2A97">
        <w:rPr>
          <w:rFonts w:ascii="Arial" w:eastAsia="ヒラギノ角ゴ Pro W3" w:hAnsi="Arial" w:cs="Arial"/>
          <w:color w:val="000000"/>
          <w:sz w:val="22"/>
          <w:szCs w:val="22"/>
          <w:lang w:val="en-US" w:eastAsia="de-DE"/>
        </w:rPr>
        <w:t xml:space="preserve"> by providing</w:t>
      </w:r>
      <w:r w:rsidRPr="00CA4E00">
        <w:rPr>
          <w:rFonts w:ascii="Arial" w:eastAsia="ヒラギノ角ゴ Pro W3" w:hAnsi="Arial" w:cs="Arial"/>
          <w:color w:val="000000"/>
          <w:sz w:val="22"/>
          <w:szCs w:val="22"/>
          <w:lang w:val="en-US" w:eastAsia="de-DE"/>
        </w:rPr>
        <w:t xml:space="preserve"> anti-oxidative effects</w:t>
      </w:r>
      <w:r w:rsidR="004F2A97">
        <w:rPr>
          <w:rFonts w:ascii="Arial" w:eastAsia="ヒラギノ角ゴ Pro W3" w:hAnsi="Arial" w:cs="Arial"/>
          <w:color w:val="000000"/>
          <w:sz w:val="22"/>
          <w:szCs w:val="22"/>
          <w:lang w:val="en-US" w:eastAsia="de-DE"/>
        </w:rPr>
        <w:t>,</w:t>
      </w:r>
      <w:r w:rsidRPr="00CA4E00">
        <w:rPr>
          <w:rFonts w:ascii="Arial" w:eastAsia="ヒラギノ角ゴ Pro W3" w:hAnsi="Arial" w:cs="Arial"/>
          <w:color w:val="000000"/>
          <w:sz w:val="22"/>
          <w:szCs w:val="22"/>
          <w:lang w:val="en-US" w:eastAsia="de-DE"/>
        </w:rPr>
        <w:t xml:space="preserve"> </w:t>
      </w:r>
      <w:r w:rsidR="0015268C">
        <w:rPr>
          <w:rFonts w:ascii="Arial" w:eastAsia="ヒラギノ角ゴ Pro W3" w:hAnsi="Arial" w:cs="Arial"/>
          <w:color w:val="000000"/>
          <w:sz w:val="22"/>
          <w:szCs w:val="22"/>
          <w:lang w:val="en-US" w:eastAsia="de-DE"/>
        </w:rPr>
        <w:t>and inhibit</w:t>
      </w:r>
      <w:r w:rsidR="004F2A97">
        <w:rPr>
          <w:rFonts w:ascii="Arial" w:eastAsia="ヒラギノ角ゴ Pro W3" w:hAnsi="Arial" w:cs="Arial"/>
          <w:color w:val="000000"/>
          <w:sz w:val="22"/>
          <w:szCs w:val="22"/>
          <w:lang w:val="en-US" w:eastAsia="de-DE"/>
        </w:rPr>
        <w:t>ing</w:t>
      </w:r>
      <w:r w:rsidR="0015268C">
        <w:rPr>
          <w:rFonts w:ascii="Arial" w:eastAsia="ヒラギノ角ゴ Pro W3" w:hAnsi="Arial" w:cs="Arial"/>
          <w:color w:val="000000"/>
          <w:sz w:val="22"/>
          <w:szCs w:val="22"/>
          <w:lang w:val="en-US" w:eastAsia="de-DE"/>
        </w:rPr>
        <w:t xml:space="preserve"> quorum sensing</w:t>
      </w:r>
      <w:r w:rsidRPr="00CA4E00">
        <w:rPr>
          <w:rFonts w:ascii="Arial" w:eastAsia="ヒラギノ角ゴ Pro W3" w:hAnsi="Arial" w:cs="Arial"/>
          <w:color w:val="000000"/>
          <w:sz w:val="22"/>
          <w:szCs w:val="22"/>
          <w:lang w:val="en-US" w:eastAsia="de-DE"/>
        </w:rPr>
        <w:t xml:space="preserve">. To this wide range of modes of action, the combination with esterified short and medium chain fatty acids provides an additional value, as they </w:t>
      </w:r>
      <w:r w:rsidR="00DA432C">
        <w:rPr>
          <w:rFonts w:ascii="Arial" w:eastAsia="ヒラギノ角ゴ Pro W3" w:hAnsi="Arial" w:cs="Arial"/>
          <w:color w:val="000000"/>
          <w:sz w:val="22"/>
          <w:szCs w:val="22"/>
          <w:lang w:val="en-US" w:eastAsia="de-DE"/>
        </w:rPr>
        <w:t>strengthen the microbial ecosystem</w:t>
      </w:r>
      <w:r w:rsidRPr="00CA4E00">
        <w:rPr>
          <w:rFonts w:ascii="Arial" w:eastAsia="ヒラギノ角ゴ Pro W3" w:hAnsi="Arial" w:cs="Arial"/>
          <w:color w:val="000000"/>
          <w:sz w:val="22"/>
          <w:szCs w:val="22"/>
          <w:lang w:val="en-US" w:eastAsia="de-DE"/>
        </w:rPr>
        <w:t xml:space="preserve">. The </w:t>
      </w:r>
      <w:r w:rsidR="004F2A97">
        <w:rPr>
          <w:rFonts w:ascii="Arial" w:eastAsia="ヒラギノ角ゴ Pro W3" w:hAnsi="Arial" w:cs="Arial"/>
          <w:color w:val="000000"/>
          <w:sz w:val="22"/>
          <w:szCs w:val="22"/>
          <w:lang w:val="en-US" w:eastAsia="de-DE"/>
        </w:rPr>
        <w:t xml:space="preserve">combination </w:t>
      </w:r>
      <w:r w:rsidRPr="00CA4E00">
        <w:rPr>
          <w:rFonts w:ascii="Arial" w:eastAsia="ヒラギノ角ゴ Pro W3" w:hAnsi="Arial" w:cs="Arial"/>
          <w:color w:val="000000"/>
          <w:sz w:val="22"/>
          <w:szCs w:val="22"/>
          <w:lang w:val="en-US" w:eastAsia="de-DE"/>
        </w:rPr>
        <w:t xml:space="preserve">in </w:t>
      </w:r>
      <w:proofErr w:type="spellStart"/>
      <w:r w:rsidRPr="00CA4E00">
        <w:rPr>
          <w:rFonts w:ascii="Arial" w:eastAsia="ヒラギノ角ゴ Pro W3" w:hAnsi="Arial" w:cs="Arial"/>
          <w:color w:val="000000"/>
          <w:sz w:val="22"/>
          <w:szCs w:val="22"/>
          <w:lang w:val="en-US" w:eastAsia="de-DE"/>
        </w:rPr>
        <w:t>Biostrong</w:t>
      </w:r>
      <w:proofErr w:type="spellEnd"/>
      <w:r w:rsidRPr="0091589C">
        <w:rPr>
          <w:rFonts w:ascii="Arial" w:eastAsia="ヒラギノ角ゴ Pro W3" w:hAnsi="Arial" w:cs="Arial"/>
          <w:color w:val="000000"/>
          <w:sz w:val="22"/>
          <w:szCs w:val="22"/>
          <w:vertAlign w:val="superscript"/>
          <w:lang w:val="en-US" w:eastAsia="de-DE"/>
        </w:rPr>
        <w:t>®</w:t>
      </w:r>
      <w:r w:rsidRPr="00CA4E00">
        <w:rPr>
          <w:rFonts w:ascii="Arial" w:eastAsia="ヒラギノ角ゴ Pro W3" w:hAnsi="Arial" w:cs="Arial"/>
          <w:color w:val="000000"/>
          <w:sz w:val="22"/>
          <w:szCs w:val="22"/>
          <w:lang w:val="en-US" w:eastAsia="de-DE"/>
        </w:rPr>
        <w:t xml:space="preserve"> Forte releases synergistic effects on </w:t>
      </w:r>
      <w:r w:rsidR="004F2A97">
        <w:rPr>
          <w:rFonts w:ascii="Arial" w:eastAsia="ヒラギノ角ゴ Pro W3" w:hAnsi="Arial" w:cs="Arial"/>
          <w:color w:val="000000"/>
          <w:sz w:val="22"/>
          <w:szCs w:val="22"/>
          <w:lang w:val="en-US" w:eastAsia="de-DE"/>
        </w:rPr>
        <w:t xml:space="preserve">the </w:t>
      </w:r>
      <w:r w:rsidRPr="00CA4E00">
        <w:rPr>
          <w:rFonts w:ascii="Arial" w:eastAsia="ヒラギノ角ゴ Pro W3" w:hAnsi="Arial" w:cs="Arial"/>
          <w:color w:val="000000"/>
          <w:sz w:val="22"/>
          <w:szCs w:val="22"/>
          <w:lang w:val="en-US" w:eastAsia="de-DE"/>
        </w:rPr>
        <w:t xml:space="preserve">microbial ecosystem in the gut while supporting </w:t>
      </w:r>
      <w:r w:rsidR="00DA432C">
        <w:rPr>
          <w:rFonts w:ascii="Arial" w:eastAsia="ヒラギノ角ゴ Pro W3" w:hAnsi="Arial" w:cs="Arial"/>
          <w:color w:val="000000"/>
          <w:sz w:val="22"/>
          <w:szCs w:val="22"/>
          <w:lang w:val="en-US" w:eastAsia="de-DE"/>
        </w:rPr>
        <w:t>digestibility and intestinal health.</w:t>
      </w:r>
    </w:p>
    <w:p w:rsidR="00241B83" w:rsidRPr="0091589C" w:rsidRDefault="004F2A97" w:rsidP="0015268C">
      <w:pPr>
        <w:spacing w:after="120" w:line="276" w:lineRule="auto"/>
        <w:jc w:val="both"/>
        <w:rPr>
          <w:rFonts w:ascii="Arial" w:hAnsi="Arial" w:cs="Arial"/>
          <w:b/>
          <w:sz w:val="22"/>
          <w:lang w:val="en-GB"/>
        </w:rPr>
      </w:pPr>
      <w:r>
        <w:rPr>
          <w:rFonts w:ascii="Arial" w:hAnsi="Arial" w:cs="Arial"/>
          <w:b/>
          <w:sz w:val="22"/>
          <w:lang w:val="en-GB"/>
        </w:rPr>
        <w:t>High</w:t>
      </w:r>
      <w:r w:rsidR="00241B83" w:rsidRPr="0091589C">
        <w:rPr>
          <w:rFonts w:ascii="Arial" w:hAnsi="Arial" w:cs="Arial"/>
          <w:b/>
          <w:sz w:val="22"/>
          <w:lang w:val="en-GB"/>
        </w:rPr>
        <w:t xml:space="preserve"> performance under challenging conditions</w:t>
      </w:r>
    </w:p>
    <w:p w:rsidR="00633A9D" w:rsidRPr="004F2A97" w:rsidRDefault="004F2A97" w:rsidP="004F2A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jc w:val="both"/>
        <w:rPr>
          <w:rFonts w:ascii="Arial" w:eastAsia="ヒラギノ角ゴ Pro W3" w:hAnsi="Arial" w:cs="Arial"/>
          <w:color w:val="000000"/>
          <w:sz w:val="22"/>
          <w:szCs w:val="22"/>
          <w:lang w:val="en-US" w:eastAsia="de-DE"/>
        </w:rPr>
      </w:pPr>
      <w:r>
        <w:rPr>
          <w:rFonts w:ascii="Arial" w:hAnsi="Arial" w:cs="Arial"/>
          <w:sz w:val="22"/>
          <w:lang w:val="en-US"/>
        </w:rPr>
        <w:t>Studies have shown that under</w:t>
      </w:r>
      <w:r w:rsidR="00241B83" w:rsidRPr="00CA4E00">
        <w:rPr>
          <w:rFonts w:ascii="Arial" w:hAnsi="Arial" w:cs="Arial"/>
          <w:sz w:val="22"/>
          <w:lang w:val="en-US"/>
        </w:rPr>
        <w:t xml:space="preserve"> challenging conditions, the application of </w:t>
      </w:r>
      <w:proofErr w:type="spellStart"/>
      <w:r w:rsidR="00241B83" w:rsidRPr="00CA4E00">
        <w:rPr>
          <w:rFonts w:ascii="Arial" w:hAnsi="Arial" w:cs="Arial"/>
          <w:sz w:val="22"/>
          <w:lang w:val="en-US"/>
        </w:rPr>
        <w:t>Biostrong</w:t>
      </w:r>
      <w:proofErr w:type="spellEnd"/>
      <w:r w:rsidR="00241B83" w:rsidRPr="00CA4E00">
        <w:rPr>
          <w:rFonts w:ascii="Arial" w:hAnsi="Arial" w:cs="Arial"/>
          <w:sz w:val="22"/>
          <w:vertAlign w:val="superscript"/>
          <w:lang w:val="en-US"/>
        </w:rPr>
        <w:t>®</w:t>
      </w:r>
      <w:r w:rsidR="00241B83" w:rsidRPr="00CA4E00">
        <w:rPr>
          <w:rFonts w:ascii="Arial" w:hAnsi="Arial" w:cs="Arial"/>
          <w:sz w:val="22"/>
          <w:lang w:val="en-US"/>
        </w:rPr>
        <w:t xml:space="preserve"> Forte improves feed conversion ratio (-4,4 %) and body weight (+3,5 %). In addition, </w:t>
      </w:r>
      <w:r>
        <w:rPr>
          <w:rFonts w:ascii="Arial" w:hAnsi="Arial" w:cs="Arial"/>
          <w:sz w:val="22"/>
          <w:lang w:val="en-US"/>
        </w:rPr>
        <w:t>it</w:t>
      </w:r>
      <w:r w:rsidR="00241B83" w:rsidRPr="00CA4E00">
        <w:rPr>
          <w:rFonts w:ascii="Arial" w:hAnsi="Arial" w:cs="Arial"/>
          <w:sz w:val="22"/>
          <w:lang w:val="en-US"/>
        </w:rPr>
        <w:t xml:space="preserve"> improves resilience against necrotic enteritis, increases livability and profitability of poultry production. </w:t>
      </w:r>
      <w:r>
        <w:rPr>
          <w:rFonts w:ascii="Arial" w:hAnsi="Arial" w:cs="Arial"/>
          <w:sz w:val="22"/>
          <w:lang w:val="en-US"/>
        </w:rPr>
        <w:t>Thus, n</w:t>
      </w:r>
      <w:r w:rsidR="00241B83" w:rsidRPr="00CA4E00">
        <w:rPr>
          <w:rFonts w:ascii="Arial" w:hAnsi="Arial" w:cs="Arial"/>
          <w:sz w:val="22"/>
          <w:lang w:val="en-US"/>
        </w:rPr>
        <w:t>utritional strategies</w:t>
      </w:r>
      <w:r>
        <w:rPr>
          <w:rFonts w:ascii="Arial" w:hAnsi="Arial" w:cs="Arial"/>
          <w:sz w:val="22"/>
          <w:lang w:val="en-US"/>
        </w:rPr>
        <w:t xml:space="preserve"> for antibiotic-free poultry production</w:t>
      </w:r>
      <w:r w:rsidR="00241B83" w:rsidRPr="00CA4E00">
        <w:rPr>
          <w:rFonts w:ascii="Arial" w:hAnsi="Arial" w:cs="Arial"/>
          <w:sz w:val="22"/>
          <w:lang w:val="en-US"/>
        </w:rPr>
        <w:t xml:space="preserve"> </w:t>
      </w:r>
      <w:r>
        <w:rPr>
          <w:rFonts w:ascii="Arial" w:hAnsi="Arial" w:cs="Arial"/>
          <w:sz w:val="22"/>
          <w:lang w:val="en-US"/>
        </w:rPr>
        <w:t>may include</w:t>
      </w:r>
      <w:r w:rsidR="00241B83" w:rsidRPr="00CA4E00">
        <w:rPr>
          <w:rFonts w:ascii="Arial" w:hAnsi="Arial" w:cs="Arial"/>
          <w:sz w:val="22"/>
          <w:lang w:val="en-US"/>
        </w:rPr>
        <w:t xml:space="preserve"> reliable</w:t>
      </w:r>
      <w:r>
        <w:rPr>
          <w:rFonts w:ascii="Arial" w:hAnsi="Arial" w:cs="Arial"/>
          <w:sz w:val="22"/>
          <w:lang w:val="en-US"/>
        </w:rPr>
        <w:t>, proven</w:t>
      </w:r>
      <w:r w:rsidR="00241B83" w:rsidRPr="00CA4E00">
        <w:rPr>
          <w:rFonts w:ascii="Arial" w:hAnsi="Arial" w:cs="Arial"/>
          <w:sz w:val="22"/>
          <w:lang w:val="en-US"/>
        </w:rPr>
        <w:t xml:space="preserve"> PFAs</w:t>
      </w:r>
      <w:r>
        <w:rPr>
          <w:rFonts w:ascii="Arial" w:hAnsi="Arial" w:cs="Arial"/>
          <w:sz w:val="22"/>
          <w:lang w:val="en-US"/>
        </w:rPr>
        <w:t xml:space="preserve">, such as </w:t>
      </w:r>
      <w:proofErr w:type="spellStart"/>
      <w:r w:rsidR="00241B83" w:rsidRPr="00CA4E00">
        <w:rPr>
          <w:rFonts w:ascii="Arial" w:hAnsi="Arial" w:cs="Arial"/>
          <w:sz w:val="22"/>
          <w:lang w:val="en-US"/>
        </w:rPr>
        <w:t>Biostrong</w:t>
      </w:r>
      <w:proofErr w:type="spellEnd"/>
      <w:r w:rsidR="00241B83" w:rsidRPr="00CA4E00">
        <w:rPr>
          <w:rFonts w:ascii="Arial" w:hAnsi="Arial" w:cs="Arial"/>
          <w:sz w:val="22"/>
          <w:vertAlign w:val="superscript"/>
          <w:lang w:val="en-US"/>
        </w:rPr>
        <w:t>®</w:t>
      </w:r>
      <w:r w:rsidR="00241B83" w:rsidRPr="00CA4E00">
        <w:rPr>
          <w:rFonts w:ascii="Arial" w:hAnsi="Arial" w:cs="Arial"/>
          <w:sz w:val="22"/>
          <w:lang w:val="en-US"/>
        </w:rPr>
        <w:t xml:space="preserve"> Forte</w:t>
      </w:r>
      <w:r>
        <w:rPr>
          <w:rFonts w:ascii="Arial" w:hAnsi="Arial" w:cs="Arial"/>
          <w:sz w:val="22"/>
          <w:lang w:val="en-US"/>
        </w:rPr>
        <w:t>.</w:t>
      </w:r>
    </w:p>
    <w:sectPr w:rsidR="00633A9D" w:rsidRPr="004F2A97" w:rsidSect="00241B83">
      <w:headerReference w:type="default" r:id="rId6"/>
      <w:footerReference w:type="default" r:id="rId7"/>
      <w:headerReference w:type="first" r:id="rId8"/>
      <w:pgSz w:w="11906" w:h="16838" w:code="9"/>
      <w:pgMar w:top="2835" w:right="1134" w:bottom="1134" w:left="992" w:header="476" w:footer="54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44AE" w:rsidRDefault="004C44AE">
      <w:pPr>
        <w:spacing w:line="240" w:lineRule="auto"/>
      </w:pPr>
      <w:r>
        <w:separator/>
      </w:r>
    </w:p>
  </w:endnote>
  <w:endnote w:type="continuationSeparator" w:id="0">
    <w:p w:rsidR="004C44AE" w:rsidRDefault="004C44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uisse BP Int'l Regular">
    <w:altName w:val="Times New Roman"/>
    <w:charset w:val="00"/>
    <w:family w:val="auto"/>
    <w:pitch w:val="variable"/>
    <w:sig w:usb0="00000001" w:usb1="4000207B" w:usb2="00000000" w:usb3="00000000" w:csb0="00000193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89C" w:rsidRPr="00BB542C" w:rsidRDefault="004F2A97" w:rsidP="0091589C">
    <w:pPr>
      <w:tabs>
        <w:tab w:val="left" w:pos="9072"/>
      </w:tabs>
      <w:spacing w:line="240" w:lineRule="auto"/>
      <w:rPr>
        <w:rFonts w:ascii="Arial" w:hAnsi="Arial" w:cs="Arial"/>
        <w:color w:val="828282"/>
        <w:lang w:val="fr-FR"/>
      </w:rPr>
    </w:pPr>
    <w:proofErr w:type="gramStart"/>
    <w:r>
      <w:rPr>
        <w:rFonts w:ascii="Arial" w:hAnsi="Arial" w:cs="Arial"/>
        <w:color w:val="828282"/>
        <w:lang w:val="fr-FR"/>
      </w:rPr>
      <w:t>Contact</w:t>
    </w:r>
    <w:r w:rsidRPr="00BB542C">
      <w:rPr>
        <w:rFonts w:ascii="Arial" w:hAnsi="Arial" w:cs="Arial"/>
        <w:color w:val="828282"/>
        <w:lang w:val="fr-FR"/>
      </w:rPr>
      <w:t>:</w:t>
    </w:r>
    <w:proofErr w:type="gramEnd"/>
    <w:r w:rsidRPr="00BB542C">
      <w:rPr>
        <w:rFonts w:ascii="Arial" w:hAnsi="Arial" w:cs="Arial"/>
        <w:color w:val="828282"/>
        <w:lang w:val="fr-FR"/>
      </w:rPr>
      <w:t xml:space="preserve"> Karina Umdasch, PR &amp; Communications Manager</w:t>
    </w:r>
  </w:p>
  <w:p w:rsidR="00376598" w:rsidRPr="0091589C" w:rsidRDefault="004F2A97" w:rsidP="006E01F2">
    <w:pPr>
      <w:tabs>
        <w:tab w:val="left" w:pos="9072"/>
      </w:tabs>
      <w:spacing w:line="240" w:lineRule="auto"/>
      <w:rPr>
        <w:rFonts w:ascii="Arial" w:hAnsi="Arial" w:cs="Arial"/>
        <w:color w:val="828282"/>
        <w:lang w:val="fr-FR"/>
      </w:rPr>
    </w:pPr>
    <w:r w:rsidRPr="00BB542C">
      <w:rPr>
        <w:rFonts w:ascii="Arial" w:hAnsi="Arial" w:cs="Arial"/>
        <w:color w:val="828282"/>
        <w:lang w:val="fr-FR"/>
      </w:rPr>
      <w:t xml:space="preserve">karina.umdasch@delacon.com, +43 732 640 531-414, +43 699 16405326                                     </w:t>
    </w:r>
    <w:r w:rsidRPr="004258F5">
      <w:rPr>
        <w:rFonts w:ascii="Arial" w:hAnsi="Arial" w:cs="Arial"/>
        <w:color w:val="828282"/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44AE" w:rsidRDefault="004C44AE">
      <w:pPr>
        <w:spacing w:line="240" w:lineRule="auto"/>
      </w:pPr>
      <w:r>
        <w:separator/>
      </w:r>
    </w:p>
  </w:footnote>
  <w:footnote w:type="continuationSeparator" w:id="0">
    <w:p w:rsidR="004C44AE" w:rsidRDefault="004C44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598" w:rsidRPr="00957AC9" w:rsidRDefault="004F2A97" w:rsidP="00B512F9">
    <w:pPr>
      <w:ind w:right="166"/>
    </w:pPr>
    <w:r>
      <w:rPr>
        <w:noProof/>
        <w:lang w:val="de-DE" w:eastAsia="de-DE"/>
      </w:rPr>
      <w:drawing>
        <wp:anchor distT="0" distB="0" distL="114300" distR="114300" simplePos="0" relativeHeight="251661312" behindDoc="0" locked="0" layoutInCell="1" allowOverlap="1" wp14:anchorId="16596D58" wp14:editId="7FC488F4">
          <wp:simplePos x="0" y="0"/>
          <wp:positionH relativeFrom="column">
            <wp:posOffset>-97790</wp:posOffset>
          </wp:positionH>
          <wp:positionV relativeFrom="paragraph">
            <wp:posOffset>145415</wp:posOffset>
          </wp:positionV>
          <wp:extent cx="2983865" cy="913765"/>
          <wp:effectExtent l="0" t="0" r="0" b="0"/>
          <wp:wrapSquare wrapText="bothSides"/>
          <wp:docPr id="4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83865" cy="913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598" w:rsidRDefault="004F2A97" w:rsidP="00957AC9">
    <w:pPr>
      <w:pStyle w:val="Kopfzeile"/>
      <w:spacing w:before="80"/>
    </w:pPr>
    <w:r>
      <w:rPr>
        <w:lang w:val="de-DE" w:eastAsia="de-DE"/>
      </w:rPr>
      <w:drawing>
        <wp:anchor distT="0" distB="0" distL="114300" distR="114300" simplePos="0" relativeHeight="251660288" behindDoc="1" locked="0" layoutInCell="1" allowOverlap="1" wp14:anchorId="31C6FD7D" wp14:editId="39F78033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0691876"/>
          <wp:effectExtent l="19050" t="0" r="2540" b="0"/>
          <wp:wrapNone/>
          <wp:docPr id="2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19"/>
                  <pic:cNvPicPr/>
                </pic:nvPicPr>
                <pic:blipFill>
                  <a:blip r:embed="rId1" cstate="print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8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de-DE" w:eastAsia="de-DE"/>
      </w:rPr>
      <w:drawing>
        <wp:anchor distT="0" distB="0" distL="114300" distR="114300" simplePos="0" relativeHeight="251659264" behindDoc="1" locked="0" layoutInCell="1" allowOverlap="1" wp14:anchorId="66FDEB8F" wp14:editId="3642AE48">
          <wp:simplePos x="0" y="0"/>
          <wp:positionH relativeFrom="margin">
            <wp:posOffset>-2060575</wp:posOffset>
          </wp:positionH>
          <wp:positionV relativeFrom="margin">
            <wp:posOffset>-1971040</wp:posOffset>
          </wp:positionV>
          <wp:extent cx="2929890" cy="1316990"/>
          <wp:effectExtent l="19050" t="0" r="3810" b="0"/>
          <wp:wrapNone/>
          <wp:docPr id="1" name="Grafik 4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9890" cy="1316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76598" w:rsidRDefault="004C44AE" w:rsidP="00BD665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B83"/>
    <w:rsid w:val="00024486"/>
    <w:rsid w:val="0015268C"/>
    <w:rsid w:val="0016035C"/>
    <w:rsid w:val="00241B83"/>
    <w:rsid w:val="004C44AE"/>
    <w:rsid w:val="004F2A97"/>
    <w:rsid w:val="005F6DCE"/>
    <w:rsid w:val="00994DE8"/>
    <w:rsid w:val="00DA432C"/>
    <w:rsid w:val="00E21F28"/>
    <w:rsid w:val="00E422A6"/>
    <w:rsid w:val="00F7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9F085"/>
  <w15:chartTrackingRefBased/>
  <w15:docId w15:val="{93897AD0-4BC2-4B33-BBD9-63A3FA00C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rsid w:val="00241B83"/>
    <w:pPr>
      <w:spacing w:after="0" w:line="288" w:lineRule="auto"/>
    </w:pPr>
    <w:rPr>
      <w:rFonts w:ascii="Suisse BP Int'l Regular" w:eastAsia="Suisse BP Int'l Regular" w:hAnsi="Suisse BP Int'l Regular" w:cs="Times New Roman"/>
      <w:sz w:val="20"/>
      <w:szCs w:val="20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21"/>
    <w:rsid w:val="00241B83"/>
    <w:pPr>
      <w:tabs>
        <w:tab w:val="center" w:pos="4536"/>
        <w:tab w:val="right" w:pos="9072"/>
      </w:tabs>
    </w:pPr>
    <w:rPr>
      <w:noProof/>
      <w:sz w:val="14"/>
      <w:lang w:eastAsia="de-AT"/>
    </w:rPr>
  </w:style>
  <w:style w:type="character" w:customStyle="1" w:styleId="KopfzeileZchn">
    <w:name w:val="Kopfzeile Zchn"/>
    <w:basedOn w:val="Absatz-Standardschriftart"/>
    <w:link w:val="Kopfzeile"/>
    <w:uiPriority w:val="21"/>
    <w:rsid w:val="00241B83"/>
    <w:rPr>
      <w:rFonts w:ascii="Suisse BP Int'l Regular" w:eastAsia="Suisse BP Int'l Regular" w:hAnsi="Suisse BP Int'l Regular" w:cs="Times New Roman"/>
      <w:noProof/>
      <w:sz w:val="14"/>
      <w:szCs w:val="20"/>
      <w:lang w:val="de-AT" w:eastAsia="de-AT"/>
    </w:rPr>
  </w:style>
  <w:style w:type="character" w:styleId="Hyperlink">
    <w:name w:val="Hyperlink"/>
    <w:uiPriority w:val="99"/>
    <w:semiHidden/>
    <w:rsid w:val="00241B83"/>
    <w:rPr>
      <w:color w:val="auto"/>
      <w:u w:val="none"/>
    </w:rPr>
  </w:style>
  <w:style w:type="paragraph" w:customStyle="1" w:styleId="Text">
    <w:name w:val="Text"/>
    <w:rsid w:val="00241B83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24486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4486"/>
    <w:rPr>
      <w:rFonts w:ascii="Suisse BP Int'l Regular" w:eastAsia="Suisse BP Int'l Regular" w:hAnsi="Suisse BP Int'l Regular" w:cs="Times New Roman"/>
      <w:sz w:val="20"/>
      <w:szCs w:val="20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430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</dc:creator>
  <cp:keywords/>
  <dc:description/>
  <cp:lastModifiedBy>ku</cp:lastModifiedBy>
  <cp:revision>7</cp:revision>
  <dcterms:created xsi:type="dcterms:W3CDTF">2017-02-15T16:33:00Z</dcterms:created>
  <dcterms:modified xsi:type="dcterms:W3CDTF">2017-02-24T11:09:00Z</dcterms:modified>
</cp:coreProperties>
</file>